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29E" w14:textId="17313880" w:rsidR="00C23A10" w:rsidRPr="0058009E" w:rsidRDefault="00315F4B" w:rsidP="00C23A10">
      <w:pPr>
        <w:jc w:val="center"/>
        <w:rPr>
          <w:rFonts w:ascii="Arial" w:hAnsi="Arial" w:cs="Arial"/>
          <w:b/>
          <w:sz w:val="22"/>
          <w:szCs w:val="22"/>
        </w:rPr>
      </w:pPr>
      <w:r w:rsidRPr="0058009E">
        <w:rPr>
          <w:rFonts w:ascii="Arial" w:hAnsi="Arial" w:cs="Arial"/>
          <w:b/>
          <w:sz w:val="22"/>
          <w:szCs w:val="22"/>
        </w:rPr>
        <w:t>PADBURY</w:t>
      </w:r>
      <w:r w:rsidR="00C23A10" w:rsidRPr="0058009E">
        <w:rPr>
          <w:rFonts w:ascii="Arial" w:hAnsi="Arial" w:cs="Arial"/>
          <w:b/>
          <w:sz w:val="22"/>
          <w:szCs w:val="22"/>
        </w:rPr>
        <w:t xml:space="preserve"> PARISH COUNCIL</w:t>
      </w:r>
      <w:r w:rsidR="004C509F">
        <w:rPr>
          <w:rFonts w:ascii="Arial" w:hAnsi="Arial" w:cs="Arial"/>
          <w:b/>
          <w:sz w:val="22"/>
          <w:szCs w:val="22"/>
        </w:rPr>
        <w:t xml:space="preserve"> - </w:t>
      </w:r>
      <w:r w:rsidR="00C23A10" w:rsidRPr="0058009E">
        <w:rPr>
          <w:rFonts w:ascii="Arial" w:hAnsi="Arial" w:cs="Arial"/>
          <w:b/>
          <w:sz w:val="22"/>
          <w:szCs w:val="22"/>
        </w:rPr>
        <w:t>RISK MANAGEMENT</w:t>
      </w:r>
      <w:r w:rsidR="007E4169">
        <w:rPr>
          <w:rFonts w:ascii="Arial" w:hAnsi="Arial" w:cs="Arial"/>
          <w:b/>
          <w:sz w:val="22"/>
          <w:szCs w:val="22"/>
        </w:rPr>
        <w:t xml:space="preserve"> – </w:t>
      </w:r>
      <w:r w:rsidR="00051EB9">
        <w:rPr>
          <w:rFonts w:ascii="Arial" w:hAnsi="Arial" w:cs="Arial"/>
          <w:b/>
          <w:sz w:val="22"/>
          <w:szCs w:val="22"/>
        </w:rPr>
        <w:t>February</w:t>
      </w:r>
      <w:r w:rsidR="007E4169">
        <w:rPr>
          <w:rFonts w:ascii="Arial" w:hAnsi="Arial" w:cs="Arial"/>
          <w:b/>
          <w:sz w:val="22"/>
          <w:szCs w:val="22"/>
        </w:rPr>
        <w:t xml:space="preserve"> 202</w:t>
      </w:r>
      <w:r w:rsidR="00051EB9">
        <w:rPr>
          <w:rFonts w:ascii="Arial" w:hAnsi="Arial" w:cs="Arial"/>
          <w:b/>
          <w:sz w:val="22"/>
          <w:szCs w:val="22"/>
        </w:rPr>
        <w:t>4</w:t>
      </w:r>
    </w:p>
    <w:p w14:paraId="6CA7D5EC" w14:textId="34B3FFD9" w:rsidR="00C23A10" w:rsidRPr="0058009E" w:rsidRDefault="00C23A10" w:rsidP="00C23A10">
      <w:pPr>
        <w:rPr>
          <w:rFonts w:ascii="Arial" w:hAnsi="Arial" w:cs="Arial"/>
          <w:b/>
          <w:sz w:val="22"/>
          <w:szCs w:val="22"/>
        </w:rPr>
      </w:pPr>
      <w:r w:rsidRPr="0058009E">
        <w:rPr>
          <w:rFonts w:ascii="Arial" w:hAnsi="Arial" w:cs="Arial"/>
          <w:b/>
          <w:sz w:val="22"/>
          <w:szCs w:val="22"/>
        </w:rPr>
        <w:t>L = Low</w:t>
      </w:r>
      <w:r w:rsidR="007E4169">
        <w:rPr>
          <w:rFonts w:ascii="Arial" w:hAnsi="Arial" w:cs="Arial"/>
          <w:b/>
          <w:sz w:val="22"/>
          <w:szCs w:val="22"/>
        </w:rPr>
        <w:t xml:space="preserve">  </w:t>
      </w:r>
      <w:r w:rsidRPr="0058009E">
        <w:rPr>
          <w:rFonts w:ascii="Arial" w:hAnsi="Arial" w:cs="Arial"/>
          <w:b/>
          <w:sz w:val="22"/>
          <w:szCs w:val="22"/>
        </w:rPr>
        <w:t>M = Mediu</w:t>
      </w:r>
      <w:r w:rsidR="007E4169">
        <w:rPr>
          <w:rFonts w:ascii="Arial" w:hAnsi="Arial" w:cs="Arial"/>
          <w:b/>
          <w:sz w:val="22"/>
          <w:szCs w:val="22"/>
        </w:rPr>
        <w:t xml:space="preserve">m  </w:t>
      </w:r>
      <w:r w:rsidRPr="0058009E">
        <w:rPr>
          <w:rFonts w:ascii="Arial" w:hAnsi="Arial" w:cs="Arial"/>
          <w:b/>
          <w:sz w:val="22"/>
          <w:szCs w:val="22"/>
        </w:rPr>
        <w:t>H = High</w:t>
      </w:r>
    </w:p>
    <w:tbl>
      <w:tblPr>
        <w:tblStyle w:val="TableGrid1"/>
        <w:tblW w:w="0" w:type="auto"/>
        <w:tblLook w:val="01E0" w:firstRow="1" w:lastRow="1" w:firstColumn="1" w:lastColumn="1" w:noHBand="0" w:noVBand="0"/>
        <w:tblCaption w:val="Risk assessment"/>
        <w:tblDescription w:val="Listing of risks with controls to mitigate"/>
      </w:tblPr>
      <w:tblGrid>
        <w:gridCol w:w="1525"/>
        <w:gridCol w:w="4563"/>
        <w:gridCol w:w="779"/>
        <w:gridCol w:w="6000"/>
      </w:tblGrid>
      <w:tr w:rsidR="00C23A10" w:rsidRPr="0058009E" w14:paraId="672AF5DD" w14:textId="77777777" w:rsidTr="0009627D">
        <w:trPr>
          <w:tblHeader/>
        </w:trPr>
        <w:tc>
          <w:tcPr>
            <w:tcW w:w="1525" w:type="dxa"/>
          </w:tcPr>
          <w:p w14:paraId="490E5799" w14:textId="77777777" w:rsidR="00C23A10" w:rsidRPr="0058009E" w:rsidRDefault="00C23A10" w:rsidP="001F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09E">
              <w:rPr>
                <w:rFonts w:ascii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4563" w:type="dxa"/>
          </w:tcPr>
          <w:p w14:paraId="46435BD4" w14:textId="77777777" w:rsidR="00C23A10" w:rsidRPr="0058009E" w:rsidRDefault="00C23A10" w:rsidP="001F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09E"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</w:tc>
        <w:tc>
          <w:tcPr>
            <w:tcW w:w="779" w:type="dxa"/>
          </w:tcPr>
          <w:p w14:paraId="2126A64A" w14:textId="77777777" w:rsidR="00C23A10" w:rsidRPr="0058009E" w:rsidRDefault="00C23A10" w:rsidP="001F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009E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62C6294A" w14:textId="77777777" w:rsidR="00C23A10" w:rsidRPr="0058009E" w:rsidRDefault="00C23A10" w:rsidP="001F337B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b/>
                <w:i w:val="0"/>
                <w:sz w:val="22"/>
                <w:szCs w:val="22"/>
              </w:rPr>
              <w:t>Control</w:t>
            </w:r>
          </w:p>
        </w:tc>
      </w:tr>
      <w:tr w:rsidR="00C23A10" w:rsidRPr="0058009E" w14:paraId="41A09FEB" w14:textId="77777777" w:rsidTr="0009627D">
        <w:tc>
          <w:tcPr>
            <w:tcW w:w="1525" w:type="dxa"/>
          </w:tcPr>
          <w:p w14:paraId="76271465" w14:textId="77777777" w:rsidR="00C23A10" w:rsidRPr="0058009E" w:rsidRDefault="00C23A10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4563" w:type="dxa"/>
          </w:tcPr>
          <w:p w14:paraId="54466339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Protection of Physical Assets</w:t>
            </w:r>
          </w:p>
        </w:tc>
        <w:tc>
          <w:tcPr>
            <w:tcW w:w="779" w:type="dxa"/>
          </w:tcPr>
          <w:p w14:paraId="2B59575A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1D78E2C7" w14:textId="45459575" w:rsidR="0065118B" w:rsidRPr="000E42FD" w:rsidRDefault="0065118B" w:rsidP="00DE57D4">
            <w:pPr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0E42FD">
              <w:rPr>
                <w:rFonts w:ascii="Arial" w:hAnsi="Arial" w:cs="Arial"/>
                <w:i w:val="0"/>
                <w:sz w:val="22"/>
                <w:szCs w:val="22"/>
              </w:rPr>
              <w:t xml:space="preserve">Assets insured. </w:t>
            </w:r>
            <w:proofErr w:type="gramStart"/>
            <w:r w:rsidRPr="000E42FD">
              <w:rPr>
                <w:rFonts w:ascii="Arial" w:hAnsi="Arial" w:cs="Arial"/>
                <w:i w:val="0"/>
                <w:sz w:val="22"/>
                <w:szCs w:val="22"/>
              </w:rPr>
              <w:t>The asset register is reviewed annually by full council</w:t>
            </w:r>
            <w:proofErr w:type="gramEnd"/>
            <w:r w:rsidRPr="000E42FD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</w:tc>
      </w:tr>
      <w:tr w:rsidR="00C23A10" w:rsidRPr="0058009E" w14:paraId="42171032" w14:textId="77777777" w:rsidTr="0009627D">
        <w:tc>
          <w:tcPr>
            <w:tcW w:w="1525" w:type="dxa"/>
          </w:tcPr>
          <w:p w14:paraId="4A23D9FB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5C6E4354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Maintenance of equipment</w:t>
            </w:r>
          </w:p>
        </w:tc>
        <w:tc>
          <w:tcPr>
            <w:tcW w:w="779" w:type="dxa"/>
          </w:tcPr>
          <w:p w14:paraId="0D19E2DB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3520B045" w14:textId="77777777" w:rsidR="00C23A10" w:rsidRPr="0058009E" w:rsidRDefault="00DE57D4" w:rsidP="00DE57D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Annual ROSPA inspection - a</w:t>
            </w:r>
            <w:r w:rsidR="00C23A10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ll necessary repairs or replacements </w:t>
            </w:r>
            <w:proofErr w:type="gramStart"/>
            <w:r w:rsidR="00C23A10"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="00315F4B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. Other </w:t>
            </w:r>
            <w:proofErr w:type="gramStart"/>
            <w:r w:rsidR="00315F4B" w:rsidRPr="0058009E">
              <w:rPr>
                <w:rFonts w:ascii="Arial" w:hAnsi="Arial" w:cs="Arial"/>
                <w:i w:val="0"/>
                <w:sz w:val="22"/>
                <w:szCs w:val="22"/>
              </w:rPr>
              <w:t>repairs</w:t>
            </w:r>
            <w:proofErr w:type="gramEnd"/>
            <w:r w:rsidR="00315F4B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as necessary.</w:t>
            </w:r>
          </w:p>
        </w:tc>
      </w:tr>
      <w:tr w:rsidR="00C23A10" w:rsidRPr="0058009E" w14:paraId="3D8B83A6" w14:textId="77777777" w:rsidTr="0009627D">
        <w:tc>
          <w:tcPr>
            <w:tcW w:w="1525" w:type="dxa"/>
          </w:tcPr>
          <w:p w14:paraId="09D532CC" w14:textId="77777777" w:rsidR="00C23A10" w:rsidRPr="0058009E" w:rsidRDefault="00C23A10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4563" w:type="dxa"/>
          </w:tcPr>
          <w:p w14:paraId="530A6D69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Banking</w:t>
            </w:r>
          </w:p>
        </w:tc>
        <w:tc>
          <w:tcPr>
            <w:tcW w:w="779" w:type="dxa"/>
          </w:tcPr>
          <w:p w14:paraId="521442EA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6E57E8D1" w14:textId="77777777" w:rsidR="00C23A10" w:rsidRPr="0058009E" w:rsidRDefault="00C23A10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Check interest rates and banking arrangements on an annual basis </w:t>
            </w:r>
            <w:r w:rsidR="00D2253C" w:rsidRPr="0058009E">
              <w:rPr>
                <w:rFonts w:ascii="Arial" w:hAnsi="Arial" w:cs="Arial"/>
                <w:i w:val="0"/>
                <w:sz w:val="22"/>
                <w:szCs w:val="22"/>
              </w:rPr>
              <w:t>or more frequently as needed.</w:t>
            </w:r>
          </w:p>
        </w:tc>
      </w:tr>
      <w:tr w:rsidR="00C23A10" w:rsidRPr="0058009E" w14:paraId="2F0250FE" w14:textId="77777777" w:rsidTr="0009627D">
        <w:tc>
          <w:tcPr>
            <w:tcW w:w="1525" w:type="dxa"/>
          </w:tcPr>
          <w:p w14:paraId="2C465C89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2258B675" w14:textId="77777777" w:rsidR="00C23A10" w:rsidRPr="0058009E" w:rsidRDefault="00C23A10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Risk of loss of income</w:t>
            </w:r>
          </w:p>
        </w:tc>
        <w:tc>
          <w:tcPr>
            <w:tcW w:w="779" w:type="dxa"/>
          </w:tcPr>
          <w:p w14:paraId="405C734E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35C05825" w14:textId="77777777" w:rsidR="00C23A10" w:rsidRPr="0058009E" w:rsidRDefault="00C23A10" w:rsidP="00315F4B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Insurance cover </w:t>
            </w:r>
          </w:p>
        </w:tc>
      </w:tr>
      <w:tr w:rsidR="00C23A10" w:rsidRPr="0058009E" w14:paraId="2BF58AF3" w14:textId="77777777" w:rsidTr="0009627D">
        <w:tc>
          <w:tcPr>
            <w:tcW w:w="1525" w:type="dxa"/>
          </w:tcPr>
          <w:p w14:paraId="06E9FA0B" w14:textId="77777777" w:rsidR="00C23A10" w:rsidRPr="0058009E" w:rsidRDefault="00C23A10" w:rsidP="001F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3" w:type="dxa"/>
          </w:tcPr>
          <w:p w14:paraId="592A1C56" w14:textId="77777777" w:rsidR="00C23A10" w:rsidRPr="0058009E" w:rsidRDefault="00C23A10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Loss of cash t</w:t>
            </w:r>
            <w:r w:rsidR="00E71479" w:rsidRPr="0058009E">
              <w:rPr>
                <w:rFonts w:ascii="Arial" w:hAnsi="Arial" w:cs="Arial"/>
                <w:sz w:val="22"/>
                <w:szCs w:val="22"/>
              </w:rPr>
              <w:t>h</w:t>
            </w:r>
            <w:r w:rsidRPr="0058009E">
              <w:rPr>
                <w:rFonts w:ascii="Arial" w:hAnsi="Arial" w:cs="Arial"/>
                <w:sz w:val="22"/>
                <w:szCs w:val="22"/>
              </w:rPr>
              <w:t>rough theft or dishonesty</w:t>
            </w:r>
          </w:p>
        </w:tc>
        <w:tc>
          <w:tcPr>
            <w:tcW w:w="779" w:type="dxa"/>
          </w:tcPr>
          <w:p w14:paraId="3F8DECC1" w14:textId="77777777" w:rsidR="00C23A10" w:rsidRPr="0058009E" w:rsidRDefault="00C23A10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6C7A5401" w14:textId="54842FFE" w:rsidR="00C23A10" w:rsidRPr="0058009E" w:rsidRDefault="005141B2" w:rsidP="0062477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624773">
              <w:rPr>
                <w:rFonts w:ascii="Arial" w:hAnsi="Arial" w:cs="Arial"/>
                <w:i w:val="0"/>
                <w:sz w:val="22"/>
                <w:szCs w:val="22"/>
              </w:rPr>
              <w:t xml:space="preserve">No petty cash. </w:t>
            </w:r>
            <w:r w:rsidR="004E2CB8" w:rsidRPr="00624773">
              <w:rPr>
                <w:rFonts w:ascii="Arial" w:hAnsi="Arial" w:cs="Arial"/>
                <w:i w:val="0"/>
                <w:sz w:val="22"/>
                <w:szCs w:val="22"/>
              </w:rPr>
              <w:t>S</w:t>
            </w:r>
            <w:r w:rsidR="00C23A10" w:rsidRPr="00624773">
              <w:rPr>
                <w:rFonts w:ascii="Arial" w:hAnsi="Arial" w:cs="Arial"/>
                <w:i w:val="0"/>
                <w:sz w:val="22"/>
                <w:szCs w:val="22"/>
              </w:rPr>
              <w:t xml:space="preserve">mall </w:t>
            </w:r>
            <w:proofErr w:type="gramStart"/>
            <w:r w:rsidR="00C23A10" w:rsidRPr="00624773">
              <w:rPr>
                <w:rFonts w:ascii="Arial" w:hAnsi="Arial" w:cs="Arial"/>
                <w:i w:val="0"/>
                <w:sz w:val="22"/>
                <w:szCs w:val="22"/>
              </w:rPr>
              <w:t>amount</w:t>
            </w:r>
            <w:proofErr w:type="gramEnd"/>
            <w:r w:rsidR="00C23A10" w:rsidRPr="00624773">
              <w:rPr>
                <w:rFonts w:ascii="Arial" w:hAnsi="Arial" w:cs="Arial"/>
                <w:i w:val="0"/>
                <w:sz w:val="22"/>
                <w:szCs w:val="22"/>
              </w:rPr>
              <w:t xml:space="preserve"> of cheques handled</w:t>
            </w:r>
            <w:r w:rsidR="005322F2" w:rsidRPr="00624773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4E2CB8" w:rsidRPr="00624773">
              <w:rPr>
                <w:rFonts w:ascii="Arial" w:hAnsi="Arial" w:cs="Arial"/>
                <w:i w:val="0"/>
                <w:sz w:val="22"/>
                <w:szCs w:val="22"/>
              </w:rPr>
              <w:t xml:space="preserve"> All invoices and cheques signed by two councillors.</w:t>
            </w:r>
            <w:r w:rsidR="001129D8" w:rsidRPr="0062477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Online payments to </w:t>
            </w:r>
            <w:proofErr w:type="gramStart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be made</w:t>
            </w:r>
            <w:proofErr w:type="gramEnd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from February 2024 – all payments / invoices to be recorded at each Council meeting. Two councillors to check and sign all invoices. After approval, </w:t>
            </w:r>
            <w:proofErr w:type="gramStart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payments are initiated by the Responsible Financial Officer</w:t>
            </w:r>
            <w:proofErr w:type="gramEnd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but can only be made on the authority of a councillor. Process to </w:t>
            </w:r>
            <w:proofErr w:type="gramStart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be reviewed</w:t>
            </w:r>
            <w:proofErr w:type="gramEnd"/>
            <w:r w:rsidR="00F354F0" w:rsidRPr="00624773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every two years. </w:t>
            </w:r>
            <w:r w:rsidR="00C23A10" w:rsidRPr="00624773">
              <w:rPr>
                <w:rFonts w:ascii="Arial" w:hAnsi="Arial" w:cs="Arial"/>
                <w:i w:val="0"/>
                <w:sz w:val="22"/>
                <w:szCs w:val="22"/>
              </w:rPr>
              <w:t>Income and expenditure monitored by Council at each Council meeting</w:t>
            </w:r>
            <w:r w:rsidR="005322F2" w:rsidRPr="00624773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C23A10" w:rsidRPr="0058009E" w14:paraId="1EF2C1E0" w14:textId="77777777" w:rsidTr="0009627D">
        <w:tc>
          <w:tcPr>
            <w:tcW w:w="1525" w:type="dxa"/>
          </w:tcPr>
          <w:p w14:paraId="05E04500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07C3D7BC" w14:textId="77777777" w:rsidR="00C23A10" w:rsidRPr="0058009E" w:rsidRDefault="00C23A10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Financial Controls and records</w:t>
            </w:r>
          </w:p>
        </w:tc>
        <w:tc>
          <w:tcPr>
            <w:tcW w:w="779" w:type="dxa"/>
          </w:tcPr>
          <w:p w14:paraId="7F380CC0" w14:textId="77777777" w:rsidR="00C23A10" w:rsidRPr="0058009E" w:rsidRDefault="00FE2949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244E3091" w14:textId="6F7C4665" w:rsidR="00C23A10" w:rsidRPr="006E15D0" w:rsidRDefault="00FE2949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6E15D0">
              <w:rPr>
                <w:rFonts w:ascii="Arial" w:hAnsi="Arial" w:cs="Arial"/>
                <w:i w:val="0"/>
                <w:sz w:val="22"/>
                <w:szCs w:val="22"/>
              </w:rPr>
              <w:t xml:space="preserve">Bank account reconciliation </w:t>
            </w:r>
            <w:proofErr w:type="gramStart"/>
            <w:r w:rsidRPr="006E15D0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Pr="006E15D0">
              <w:rPr>
                <w:rFonts w:ascii="Arial" w:hAnsi="Arial" w:cs="Arial"/>
                <w:i w:val="0"/>
                <w:sz w:val="22"/>
                <w:szCs w:val="22"/>
              </w:rPr>
              <w:t xml:space="preserve"> each month and reported to each Council meeting</w:t>
            </w:r>
            <w:r w:rsidR="005322F2" w:rsidRPr="006E15D0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CB272E" w:rsidRPr="006E15D0">
              <w:rPr>
                <w:rFonts w:ascii="Arial" w:hAnsi="Arial" w:cs="Arial"/>
                <w:i w:val="0"/>
                <w:sz w:val="22"/>
                <w:szCs w:val="22"/>
              </w:rPr>
              <w:t xml:space="preserve"> Bank </w:t>
            </w:r>
            <w:r w:rsidR="006E15D0" w:rsidRPr="006E15D0">
              <w:rPr>
                <w:rFonts w:ascii="Arial" w:hAnsi="Arial" w:cs="Arial"/>
                <w:i w:val="0"/>
                <w:sz w:val="22"/>
                <w:szCs w:val="22"/>
              </w:rPr>
              <w:t xml:space="preserve">reconciliations </w:t>
            </w:r>
            <w:r w:rsidR="00CB272E" w:rsidRPr="006E15D0">
              <w:rPr>
                <w:rFonts w:ascii="Arial" w:hAnsi="Arial" w:cs="Arial"/>
                <w:i w:val="0"/>
                <w:sz w:val="22"/>
                <w:szCs w:val="22"/>
              </w:rPr>
              <w:t xml:space="preserve">signed off at council meetings </w:t>
            </w:r>
            <w:r w:rsidR="006E15D0" w:rsidRPr="006E15D0">
              <w:rPr>
                <w:rFonts w:ascii="Arial" w:hAnsi="Arial" w:cs="Arial"/>
                <w:i w:val="0"/>
                <w:sz w:val="22"/>
                <w:szCs w:val="22"/>
              </w:rPr>
              <w:t>at least twice a year</w:t>
            </w:r>
            <w:r w:rsidR="00CB272E" w:rsidRPr="006E15D0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66A9E63E" w14:textId="3DFA0886" w:rsidR="00FE2949" w:rsidRPr="0058009E" w:rsidRDefault="00FE2949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6E15D0">
              <w:rPr>
                <w:rFonts w:ascii="Arial" w:hAnsi="Arial" w:cs="Arial"/>
                <w:i w:val="0"/>
                <w:sz w:val="22"/>
                <w:szCs w:val="22"/>
              </w:rPr>
              <w:t>Internal and External audits</w:t>
            </w:r>
            <w:r w:rsidR="005322F2" w:rsidRPr="006E15D0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C23A10" w:rsidRPr="0058009E" w14:paraId="0E10551F" w14:textId="77777777" w:rsidTr="0009627D">
        <w:trPr>
          <w:trHeight w:val="716"/>
        </w:trPr>
        <w:tc>
          <w:tcPr>
            <w:tcW w:w="1525" w:type="dxa"/>
          </w:tcPr>
          <w:p w14:paraId="620470AF" w14:textId="77777777" w:rsidR="00C23A10" w:rsidRPr="0058009E" w:rsidRDefault="00C23A10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5F63E042" w14:textId="77777777" w:rsidR="00C23A10" w:rsidRPr="0058009E" w:rsidRDefault="00FE2949" w:rsidP="00DE57D4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Comply with Customs and Excise Regulations</w:t>
            </w:r>
          </w:p>
        </w:tc>
        <w:tc>
          <w:tcPr>
            <w:tcW w:w="779" w:type="dxa"/>
          </w:tcPr>
          <w:p w14:paraId="159F3964" w14:textId="77777777" w:rsidR="00C23A10" w:rsidRPr="0058009E" w:rsidRDefault="00FE2949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18697D02" w14:textId="54C34024" w:rsidR="00C23A10" w:rsidRPr="0058009E" w:rsidRDefault="00FE2949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Parish Clerk to reclaim VAT</w:t>
            </w:r>
            <w:r w:rsidR="000E42FD">
              <w:rPr>
                <w:rFonts w:ascii="Arial" w:hAnsi="Arial" w:cs="Arial"/>
                <w:i w:val="0"/>
                <w:sz w:val="22"/>
                <w:szCs w:val="22"/>
              </w:rPr>
              <w:t xml:space="preserve"> at least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annually.</w:t>
            </w:r>
          </w:p>
          <w:p w14:paraId="2E8A634D" w14:textId="6C35DD94" w:rsidR="00315F4B" w:rsidRPr="0058009E" w:rsidRDefault="00FE2949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Internal and External Audit </w:t>
            </w:r>
            <w:r w:rsidR="0090246E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(where necessary following Transparency Code)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provide double check</w:t>
            </w:r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FE2949" w:rsidRPr="0058009E" w14:paraId="7034EAAD" w14:textId="77777777" w:rsidTr="0009627D">
        <w:tc>
          <w:tcPr>
            <w:tcW w:w="1525" w:type="dxa"/>
          </w:tcPr>
          <w:p w14:paraId="239E3911" w14:textId="77777777" w:rsidR="00FE2949" w:rsidRPr="0058009E" w:rsidRDefault="00FE2949" w:rsidP="00FE29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3" w:type="dxa"/>
          </w:tcPr>
          <w:p w14:paraId="07FFFA80" w14:textId="77777777" w:rsidR="00FE2949" w:rsidRPr="0058009E" w:rsidRDefault="00FE2949" w:rsidP="00FE29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Sound budgeting to underlie precept</w:t>
            </w:r>
          </w:p>
        </w:tc>
        <w:tc>
          <w:tcPr>
            <w:tcW w:w="779" w:type="dxa"/>
          </w:tcPr>
          <w:p w14:paraId="0239B242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7A783277" w14:textId="302B4A76" w:rsidR="00FE2949" w:rsidRPr="00871355" w:rsidRDefault="00FE2949" w:rsidP="00FE2949">
            <w:pPr>
              <w:rPr>
                <w:rFonts w:ascii="Arial" w:hAnsi="Arial" w:cs="Arial"/>
                <w:iCs w:val="0"/>
                <w:color w:val="FF000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Parish Clerk to monitor budget and report to members at each meeting</w:t>
            </w:r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871355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871355" w:rsidRPr="00862712">
              <w:rPr>
                <w:rFonts w:ascii="Arial" w:hAnsi="Arial" w:cs="Arial"/>
                <w:i w:val="0"/>
                <w:sz w:val="22"/>
                <w:szCs w:val="22"/>
              </w:rPr>
              <w:t>Council reviews/approves budget prior to setting the precept.</w:t>
            </w:r>
          </w:p>
        </w:tc>
      </w:tr>
      <w:tr w:rsidR="00FE2949" w:rsidRPr="0058009E" w14:paraId="1C9D09ED" w14:textId="77777777" w:rsidTr="0009627D">
        <w:tc>
          <w:tcPr>
            <w:tcW w:w="1525" w:type="dxa"/>
          </w:tcPr>
          <w:p w14:paraId="391BF1E6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001BD28F" w14:textId="77777777" w:rsidR="00FE2949" w:rsidRPr="0058009E" w:rsidRDefault="00FE2949" w:rsidP="005141B2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Comply with borrowing restrictions</w:t>
            </w:r>
          </w:p>
        </w:tc>
        <w:tc>
          <w:tcPr>
            <w:tcW w:w="779" w:type="dxa"/>
          </w:tcPr>
          <w:p w14:paraId="46696ECC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55CC6073" w14:textId="77777777" w:rsidR="00FE2949" w:rsidRPr="0058009E" w:rsidRDefault="00FE2949" w:rsidP="00FE2949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No borrowing at present</w:t>
            </w:r>
          </w:p>
        </w:tc>
      </w:tr>
      <w:tr w:rsidR="0096234F" w:rsidRPr="007314AE" w14:paraId="67DD500B" w14:textId="77777777" w:rsidTr="0009627D">
        <w:tc>
          <w:tcPr>
            <w:tcW w:w="1525" w:type="dxa"/>
          </w:tcPr>
          <w:p w14:paraId="46A84D2E" w14:textId="77777777" w:rsidR="0096234F" w:rsidRPr="007314AE" w:rsidRDefault="0096234F" w:rsidP="00FE294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63" w:type="dxa"/>
          </w:tcPr>
          <w:p w14:paraId="41A5BA06" w14:textId="7B34DE9B" w:rsidR="0096234F" w:rsidRPr="00D90CDE" w:rsidRDefault="0096234F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D90CDE">
              <w:rPr>
                <w:rFonts w:ascii="Arial" w:hAnsi="Arial" w:cs="Arial"/>
                <w:sz w:val="22"/>
                <w:szCs w:val="22"/>
              </w:rPr>
              <w:t>Delay in receiving the precept when due</w:t>
            </w:r>
          </w:p>
        </w:tc>
        <w:tc>
          <w:tcPr>
            <w:tcW w:w="779" w:type="dxa"/>
          </w:tcPr>
          <w:p w14:paraId="0DDE49A1" w14:textId="364CEBD3" w:rsidR="0096234F" w:rsidRPr="00D90CDE" w:rsidRDefault="0096234F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D90CD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23BB69FA" w14:textId="1CB35F79" w:rsidR="0096234F" w:rsidRPr="00D90CDE" w:rsidRDefault="00D74A66" w:rsidP="00FE2949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Reserves </w:t>
            </w:r>
            <w:proofErr w:type="gramStart"/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are maintained</w:t>
            </w:r>
            <w:proofErr w:type="gramEnd"/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to at least 80% of the annual budgeted expenditure.</w:t>
            </w:r>
          </w:p>
        </w:tc>
      </w:tr>
      <w:tr w:rsidR="00FE2949" w:rsidRPr="0058009E" w14:paraId="4CC4CE9C" w14:textId="77777777" w:rsidTr="0009627D">
        <w:tc>
          <w:tcPr>
            <w:tcW w:w="1525" w:type="dxa"/>
          </w:tcPr>
          <w:p w14:paraId="4F927D06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Liability </w:t>
            </w:r>
          </w:p>
        </w:tc>
        <w:tc>
          <w:tcPr>
            <w:tcW w:w="4563" w:type="dxa"/>
          </w:tcPr>
          <w:p w14:paraId="41D3244C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Risk to third party, </w:t>
            </w:r>
            <w:proofErr w:type="gramStart"/>
            <w:r w:rsidRPr="0058009E">
              <w:rPr>
                <w:rFonts w:ascii="Arial" w:hAnsi="Arial" w:cs="Arial"/>
                <w:sz w:val="22"/>
                <w:szCs w:val="22"/>
              </w:rPr>
              <w:t>property</w:t>
            </w:r>
            <w:proofErr w:type="gramEnd"/>
            <w:r w:rsidRPr="0058009E">
              <w:rPr>
                <w:rFonts w:ascii="Arial" w:hAnsi="Arial" w:cs="Arial"/>
                <w:sz w:val="22"/>
                <w:szCs w:val="22"/>
              </w:rPr>
              <w:t xml:space="preserve"> or individuals </w:t>
            </w:r>
          </w:p>
        </w:tc>
        <w:tc>
          <w:tcPr>
            <w:tcW w:w="779" w:type="dxa"/>
          </w:tcPr>
          <w:p w14:paraId="5C245EA2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7A4F63AF" w14:textId="52F49896" w:rsidR="00FE2949" w:rsidRPr="0058009E" w:rsidRDefault="00FE2949" w:rsidP="00FE2949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Insurance in place</w:t>
            </w:r>
            <w:r w:rsidR="005141B2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Open spaces regularly checked</w:t>
            </w:r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52B033EC" w14:textId="77777777" w:rsidR="00FE2949" w:rsidRPr="0058009E" w:rsidRDefault="00315F4B" w:rsidP="00FE2949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Risk assessments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as needed.</w:t>
            </w:r>
            <w:r w:rsidR="00FE2949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FE2949" w:rsidRPr="0058009E" w14:paraId="0F98B5A8" w14:textId="77777777" w:rsidTr="0009627D">
        <w:tc>
          <w:tcPr>
            <w:tcW w:w="1525" w:type="dxa"/>
          </w:tcPr>
          <w:p w14:paraId="35370366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43DBD7DD" w14:textId="69826595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Legal liability </w:t>
            </w:r>
            <w:proofErr w:type="gramStart"/>
            <w:r w:rsidRPr="0058009E">
              <w:rPr>
                <w:rFonts w:ascii="Arial" w:hAnsi="Arial" w:cs="Arial"/>
                <w:sz w:val="22"/>
                <w:szCs w:val="22"/>
              </w:rPr>
              <w:t>as a consequence of</w:t>
            </w:r>
            <w:proofErr w:type="gramEnd"/>
            <w:r w:rsidRPr="0058009E">
              <w:rPr>
                <w:rFonts w:ascii="Arial" w:hAnsi="Arial" w:cs="Arial"/>
                <w:sz w:val="22"/>
                <w:szCs w:val="22"/>
              </w:rPr>
              <w:t xml:space="preserve"> asset ownership</w:t>
            </w:r>
          </w:p>
        </w:tc>
        <w:tc>
          <w:tcPr>
            <w:tcW w:w="779" w:type="dxa"/>
          </w:tcPr>
          <w:p w14:paraId="63F512AC" w14:textId="77777777" w:rsidR="00FE2949" w:rsidRPr="0058009E" w:rsidRDefault="003F4311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4BDA4513" w14:textId="77777777" w:rsidR="00FE2949" w:rsidRPr="0058009E" w:rsidRDefault="00FE2949" w:rsidP="003F4311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Insurance in place</w:t>
            </w:r>
          </w:p>
        </w:tc>
      </w:tr>
      <w:tr w:rsidR="00FE2949" w:rsidRPr="0058009E" w14:paraId="0A8DB8F8" w14:textId="77777777" w:rsidTr="0009627D">
        <w:tc>
          <w:tcPr>
            <w:tcW w:w="1525" w:type="dxa"/>
          </w:tcPr>
          <w:p w14:paraId="707DBA02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Employer Liability</w:t>
            </w:r>
          </w:p>
        </w:tc>
        <w:tc>
          <w:tcPr>
            <w:tcW w:w="4563" w:type="dxa"/>
          </w:tcPr>
          <w:p w14:paraId="2255BF9C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Comply with Employment Law</w:t>
            </w:r>
          </w:p>
        </w:tc>
        <w:tc>
          <w:tcPr>
            <w:tcW w:w="779" w:type="dxa"/>
          </w:tcPr>
          <w:p w14:paraId="4EA49844" w14:textId="77777777" w:rsidR="00FE2949" w:rsidRPr="0058009E" w:rsidRDefault="005115C2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1B724551" w14:textId="77777777" w:rsidR="00FE2949" w:rsidRPr="0058009E" w:rsidRDefault="005115C2" w:rsidP="00FE2949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Membership of various national and regional bodies</w:t>
            </w:r>
          </w:p>
          <w:p w14:paraId="09D9FB63" w14:textId="77777777" w:rsidR="005115C2" w:rsidRPr="0058009E" w:rsidRDefault="005115C2" w:rsidP="00FE2949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including employees organisation</w:t>
            </w:r>
          </w:p>
        </w:tc>
      </w:tr>
      <w:tr w:rsidR="00FE2949" w:rsidRPr="0058009E" w14:paraId="15CC1C5D" w14:textId="77777777" w:rsidTr="0009627D">
        <w:tc>
          <w:tcPr>
            <w:tcW w:w="1525" w:type="dxa"/>
          </w:tcPr>
          <w:p w14:paraId="79FDB7D0" w14:textId="77777777" w:rsidR="00FE2949" w:rsidRPr="0058009E" w:rsidRDefault="00FE2949" w:rsidP="00FE2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581AFD6" w14:textId="77777777" w:rsidR="00FE2949" w:rsidRPr="0058009E" w:rsidRDefault="005115C2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Comply with Inland Revenue Requirements</w:t>
            </w:r>
          </w:p>
        </w:tc>
        <w:tc>
          <w:tcPr>
            <w:tcW w:w="779" w:type="dxa"/>
          </w:tcPr>
          <w:p w14:paraId="2B434F3A" w14:textId="77777777" w:rsidR="00FE2949" w:rsidRPr="0058009E" w:rsidRDefault="005115C2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3E9C85F7" w14:textId="6D4AE99C" w:rsidR="005115C2" w:rsidRPr="0058009E" w:rsidRDefault="005115C2" w:rsidP="0062477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Regular advice from Inland Revenue</w:t>
            </w:r>
            <w:r w:rsidR="005141B2" w:rsidRPr="0058009E">
              <w:rPr>
                <w:rFonts w:ascii="Arial" w:hAnsi="Arial" w:cs="Arial"/>
                <w:i w:val="0"/>
                <w:sz w:val="22"/>
                <w:szCs w:val="22"/>
              </w:rPr>
              <w:t>. Salary reported using HMRC/RTI</w:t>
            </w:r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62477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Internal </w:t>
            </w:r>
            <w:r w:rsidR="0090246E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Auditor </w:t>
            </w:r>
            <w:proofErr w:type="gramStart"/>
            <w:r w:rsidR="0090246E" w:rsidRPr="0058009E">
              <w:rPr>
                <w:rFonts w:ascii="Arial" w:hAnsi="Arial" w:cs="Arial"/>
                <w:i w:val="0"/>
                <w:sz w:val="22"/>
                <w:szCs w:val="22"/>
              </w:rPr>
              <w:t>carries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out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annual checks</w:t>
            </w:r>
            <w:r w:rsidR="00624773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FE2949" w:rsidRPr="0058009E" w14:paraId="7DC0C7E6" w14:textId="77777777" w:rsidTr="0009627D">
        <w:tc>
          <w:tcPr>
            <w:tcW w:w="1525" w:type="dxa"/>
          </w:tcPr>
          <w:p w14:paraId="5268E823" w14:textId="77777777" w:rsidR="00FE2949" w:rsidRPr="0058009E" w:rsidRDefault="00D05998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Legal Liability</w:t>
            </w:r>
          </w:p>
        </w:tc>
        <w:tc>
          <w:tcPr>
            <w:tcW w:w="4563" w:type="dxa"/>
          </w:tcPr>
          <w:p w14:paraId="1D9E6414" w14:textId="77777777" w:rsidR="00FE2949" w:rsidRPr="0058009E" w:rsidRDefault="00D05998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Ensuring activities are within legal powers</w:t>
            </w:r>
          </w:p>
        </w:tc>
        <w:tc>
          <w:tcPr>
            <w:tcW w:w="779" w:type="dxa"/>
          </w:tcPr>
          <w:p w14:paraId="6072132E" w14:textId="77777777" w:rsidR="00FE2949" w:rsidRPr="0058009E" w:rsidRDefault="00D05998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1356A33B" w14:textId="77777777" w:rsidR="00D05998" w:rsidRPr="0058009E" w:rsidRDefault="00D05998" w:rsidP="003F4311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Parish Clerk clarifies the legal position on any new proposal</w:t>
            </w:r>
            <w:r w:rsidR="003F4311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Legal advice to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be sought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where necessary</w:t>
            </w:r>
          </w:p>
        </w:tc>
      </w:tr>
      <w:tr w:rsidR="00FE2949" w:rsidRPr="0058009E" w14:paraId="7EFE0317" w14:textId="77777777" w:rsidTr="0009627D">
        <w:tc>
          <w:tcPr>
            <w:tcW w:w="1525" w:type="dxa"/>
          </w:tcPr>
          <w:p w14:paraId="67C1CEF8" w14:textId="77777777" w:rsidR="00FE2949" w:rsidRPr="0058009E" w:rsidRDefault="00FE2949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112DE939" w14:textId="77777777" w:rsidR="00FE2949" w:rsidRPr="0058009E" w:rsidRDefault="00D05998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Proper and timely reporting via the minutes</w:t>
            </w:r>
          </w:p>
        </w:tc>
        <w:tc>
          <w:tcPr>
            <w:tcW w:w="779" w:type="dxa"/>
          </w:tcPr>
          <w:p w14:paraId="2958DD1E" w14:textId="77777777" w:rsidR="00FE2949" w:rsidRPr="0058009E" w:rsidRDefault="00D05998" w:rsidP="00FE2949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73221EA1" w14:textId="4FA3F4EA" w:rsidR="00D05998" w:rsidRPr="0058009E" w:rsidRDefault="00D05998" w:rsidP="0062477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Parish Council meets </w:t>
            </w:r>
            <w:proofErr w:type="gramStart"/>
            <w:r w:rsidR="00B05B2C" w:rsidRPr="003E6C2B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proofErr w:type="gramEnd"/>
            <w:r w:rsidR="00D04CC8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times per year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with additional meetings as necessary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624773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Minute</w:t>
            </w:r>
            <w:r w:rsidR="003F4311" w:rsidRPr="0058009E">
              <w:rPr>
                <w:rFonts w:ascii="Arial" w:hAnsi="Arial" w:cs="Arial"/>
                <w:i w:val="0"/>
                <w:sz w:val="22"/>
                <w:szCs w:val="22"/>
              </w:rPr>
              <w:t>s and all documents required by Transparency Code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made available to the press and public on the village notice boards</w:t>
            </w:r>
            <w:r w:rsidR="00576282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and</w:t>
            </w:r>
            <w:r w:rsidR="003F4311" w:rsidRPr="0058009E">
              <w:rPr>
                <w:rFonts w:ascii="Arial" w:hAnsi="Arial" w:cs="Arial"/>
                <w:i w:val="0"/>
                <w:sz w:val="22"/>
                <w:szCs w:val="22"/>
              </w:rPr>
              <w:t>/or</w:t>
            </w:r>
            <w:r w:rsidR="00576282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3F4311" w:rsidRPr="0058009E">
              <w:rPr>
                <w:rFonts w:ascii="Arial" w:hAnsi="Arial" w:cs="Arial"/>
                <w:i w:val="0"/>
                <w:sz w:val="22"/>
                <w:szCs w:val="22"/>
              </w:rPr>
              <w:t>Parish Council</w:t>
            </w:r>
            <w:r w:rsidR="00576282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website</w:t>
            </w:r>
          </w:p>
        </w:tc>
      </w:tr>
      <w:tr w:rsidR="00D05998" w:rsidRPr="0058009E" w14:paraId="3C75E2AC" w14:textId="77777777" w:rsidTr="0009627D">
        <w:tc>
          <w:tcPr>
            <w:tcW w:w="1525" w:type="dxa"/>
          </w:tcPr>
          <w:p w14:paraId="71C98C41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5C16800A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Proper Document Control</w:t>
            </w:r>
          </w:p>
        </w:tc>
        <w:tc>
          <w:tcPr>
            <w:tcW w:w="779" w:type="dxa"/>
          </w:tcPr>
          <w:p w14:paraId="663AE529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5DC728D2" w14:textId="3A3DC954" w:rsidR="005141B2" w:rsidRPr="0058009E" w:rsidRDefault="00D05998" w:rsidP="0062477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Leases and legal documents to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be kept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safely at the Clerks address</w:t>
            </w:r>
            <w:r w:rsidR="00C957AA" w:rsidRPr="0058009E">
              <w:rPr>
                <w:rFonts w:ascii="Arial" w:hAnsi="Arial" w:cs="Arial"/>
                <w:i w:val="0"/>
                <w:sz w:val="22"/>
                <w:szCs w:val="22"/>
              </w:rPr>
              <w:t>. Important documents held on memory stick</w:t>
            </w:r>
            <w:r w:rsidR="00667C0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667C02" w:rsidRPr="003854F5">
              <w:rPr>
                <w:rFonts w:ascii="Arial" w:hAnsi="Arial" w:cs="Arial"/>
                <w:i w:val="0"/>
                <w:sz w:val="22"/>
                <w:szCs w:val="22"/>
              </w:rPr>
              <w:t>and backed up on a regular basis</w:t>
            </w:r>
            <w:r w:rsidR="003854F5">
              <w:rPr>
                <w:rFonts w:ascii="Arial" w:hAnsi="Arial" w:cs="Arial"/>
                <w:iCs w:val="0"/>
                <w:sz w:val="22"/>
                <w:szCs w:val="22"/>
              </w:rPr>
              <w:t>.</w:t>
            </w:r>
            <w:r w:rsidR="00624773">
              <w:rPr>
                <w:rFonts w:ascii="Arial" w:hAnsi="Arial" w:cs="Arial"/>
                <w:iCs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Other data stored to comply with the Data Protection Act and under the retention of documents requirements.</w:t>
            </w:r>
          </w:p>
        </w:tc>
      </w:tr>
      <w:tr w:rsidR="00D05998" w:rsidRPr="0058009E" w14:paraId="439EECE4" w14:textId="77777777" w:rsidTr="0009627D">
        <w:tc>
          <w:tcPr>
            <w:tcW w:w="1525" w:type="dxa"/>
          </w:tcPr>
          <w:p w14:paraId="1185A6EC" w14:textId="722D7A1F" w:rsidR="00D05998" w:rsidRPr="00D90CD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D90CDE">
              <w:rPr>
                <w:rFonts w:ascii="Arial" w:hAnsi="Arial" w:cs="Arial"/>
                <w:sz w:val="22"/>
                <w:szCs w:val="22"/>
              </w:rPr>
              <w:t>Councillor</w:t>
            </w:r>
            <w:r w:rsidR="00B05B2C" w:rsidRPr="00D90CDE">
              <w:rPr>
                <w:rFonts w:ascii="Arial" w:hAnsi="Arial" w:cs="Arial"/>
                <w:sz w:val="22"/>
                <w:szCs w:val="22"/>
              </w:rPr>
              <w:t>s</w:t>
            </w:r>
            <w:r w:rsidRPr="00D90C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3" w:type="dxa"/>
          </w:tcPr>
          <w:p w14:paraId="4F615552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Code of Conduct</w:t>
            </w:r>
          </w:p>
        </w:tc>
        <w:tc>
          <w:tcPr>
            <w:tcW w:w="779" w:type="dxa"/>
          </w:tcPr>
          <w:p w14:paraId="6412FD5C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478E92B4" w14:textId="331097D3" w:rsidR="005141B2" w:rsidRPr="00EC27C2" w:rsidRDefault="00D05998" w:rsidP="00C957AA">
            <w:pPr>
              <w:rPr>
                <w:rFonts w:ascii="Arial" w:hAnsi="Arial" w:cs="Arial"/>
                <w:iCs w:val="0"/>
                <w:color w:val="FF000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All Councillors to act within the rules under the Code of Conduct which each member has signed up to</w:t>
            </w:r>
            <w:r w:rsidR="006D01FD">
              <w:rPr>
                <w:rFonts w:ascii="Arial" w:hAnsi="Arial" w:cs="Arial"/>
                <w:i w:val="0"/>
                <w:sz w:val="22"/>
                <w:szCs w:val="22"/>
              </w:rPr>
              <w:t xml:space="preserve">. Reviewed every </w:t>
            </w:r>
            <w:r w:rsidR="00EC27C2" w:rsidRPr="00586005">
              <w:rPr>
                <w:rFonts w:ascii="Arial" w:hAnsi="Arial" w:cs="Arial"/>
                <w:i w:val="0"/>
                <w:sz w:val="22"/>
                <w:szCs w:val="22"/>
              </w:rPr>
              <w:t>year.</w:t>
            </w:r>
          </w:p>
        </w:tc>
      </w:tr>
      <w:tr w:rsidR="00D05998" w:rsidRPr="0058009E" w14:paraId="37F4DD2E" w14:textId="77777777" w:rsidTr="0009627D">
        <w:tc>
          <w:tcPr>
            <w:tcW w:w="1525" w:type="dxa"/>
          </w:tcPr>
          <w:p w14:paraId="42F2B714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74664258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Register of Interest and Gifts and hospitality in place</w:t>
            </w:r>
          </w:p>
        </w:tc>
        <w:tc>
          <w:tcPr>
            <w:tcW w:w="779" w:type="dxa"/>
          </w:tcPr>
          <w:p w14:paraId="120C2022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167F97F2" w14:textId="6F616C83" w:rsidR="00D05998" w:rsidRPr="0058009E" w:rsidRDefault="00D05998" w:rsidP="0062477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Register of Interests completed</w:t>
            </w:r>
            <w:r w:rsidR="006D01FD">
              <w:rPr>
                <w:rFonts w:ascii="Arial" w:hAnsi="Arial" w:cs="Arial"/>
                <w:i w:val="0"/>
                <w:sz w:val="22"/>
                <w:szCs w:val="22"/>
              </w:rPr>
              <w:t xml:space="preserve">. Councillors responsibility to ensure these are up to date.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Gifts and Hospitality Register is available to Members</w:t>
            </w:r>
          </w:p>
        </w:tc>
      </w:tr>
      <w:tr w:rsidR="00B05B2C" w:rsidRPr="0058009E" w14:paraId="2DD727FA" w14:textId="77777777" w:rsidTr="0009627D">
        <w:tc>
          <w:tcPr>
            <w:tcW w:w="1525" w:type="dxa"/>
          </w:tcPr>
          <w:p w14:paraId="165C7E47" w14:textId="77777777" w:rsidR="00B05B2C" w:rsidRPr="0058009E" w:rsidRDefault="00B05B2C" w:rsidP="00C23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14:paraId="75652FD9" w14:textId="58B03CFB" w:rsidR="00B05B2C" w:rsidRPr="00D90CDE" w:rsidRDefault="008C2127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D90CDE">
              <w:rPr>
                <w:rFonts w:ascii="Arial" w:hAnsi="Arial" w:cs="Arial"/>
                <w:sz w:val="22"/>
                <w:szCs w:val="22"/>
              </w:rPr>
              <w:t>Failure to retain or secure the necessary number of Members for a Council</w:t>
            </w:r>
          </w:p>
        </w:tc>
        <w:tc>
          <w:tcPr>
            <w:tcW w:w="779" w:type="dxa"/>
          </w:tcPr>
          <w:p w14:paraId="45E991AA" w14:textId="125B3D45" w:rsidR="00B05B2C" w:rsidRPr="00D90CDE" w:rsidRDefault="008C2127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D90CD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2C860E16" w14:textId="35E5283B" w:rsidR="00B05B2C" w:rsidRPr="00D90CDE" w:rsidRDefault="008C2127" w:rsidP="00C23A10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Advertise for an election immediately when a vacancy exists. Co-opt Members where no election </w:t>
            </w:r>
            <w:proofErr w:type="gramStart"/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was held</w:t>
            </w:r>
            <w:proofErr w:type="gramEnd"/>
            <w:r w:rsidRPr="00D90CDE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6963A9" w:rsidRPr="0058009E" w14:paraId="4CBA9FD3" w14:textId="77777777" w:rsidTr="0009627D">
        <w:tc>
          <w:tcPr>
            <w:tcW w:w="1525" w:type="dxa"/>
          </w:tcPr>
          <w:p w14:paraId="47D60560" w14:textId="77777777" w:rsidR="006963A9" w:rsidRPr="0058009E" w:rsidRDefault="006963A9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Councillor and Officer Continuing competence</w:t>
            </w:r>
          </w:p>
        </w:tc>
        <w:tc>
          <w:tcPr>
            <w:tcW w:w="4563" w:type="dxa"/>
          </w:tcPr>
          <w:p w14:paraId="789921A4" w14:textId="77777777" w:rsidR="006963A9" w:rsidRPr="0058009E" w:rsidRDefault="006963A9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Potential for Members and Officers to become out of date</w:t>
            </w:r>
          </w:p>
        </w:tc>
        <w:tc>
          <w:tcPr>
            <w:tcW w:w="779" w:type="dxa"/>
          </w:tcPr>
          <w:p w14:paraId="25AC94C1" w14:textId="77777777" w:rsidR="006963A9" w:rsidRPr="0058009E" w:rsidRDefault="006963A9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474CEA41" w14:textId="4F6B03AD" w:rsidR="00781F9E" w:rsidRPr="0058009E" w:rsidRDefault="006963A9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Ensure </w:t>
            </w:r>
            <w:r w:rsidR="00861392" w:rsidRPr="003E6C2B">
              <w:rPr>
                <w:rFonts w:ascii="Arial" w:hAnsi="Arial" w:cs="Arial"/>
                <w:i w:val="0"/>
                <w:sz w:val="22"/>
                <w:szCs w:val="22"/>
              </w:rPr>
              <w:t>where possible</w:t>
            </w:r>
            <w:r w:rsidR="0086139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Proper Officer holds, or is working towards, the formal qualifications required in their contract</w:t>
            </w:r>
            <w:r w:rsidR="0090246E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(CiLCA)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84281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Encourage attendance on relevant courses and seminars offered for Proper Officer continuing professional development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and provide full financial support for this purpose.</w:t>
            </w:r>
            <w:r w:rsidR="0084281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781F9E" w:rsidRPr="0058009E">
              <w:rPr>
                <w:rFonts w:ascii="Arial" w:hAnsi="Arial" w:cs="Arial"/>
                <w:i w:val="0"/>
                <w:sz w:val="22"/>
                <w:szCs w:val="22"/>
              </w:rPr>
              <w:t>Encourage attendance by Members on appropriate courses, seminars and workshops provided by:</w:t>
            </w:r>
          </w:p>
          <w:p w14:paraId="6CC39089" w14:textId="77777777" w:rsidR="00781F9E" w:rsidRPr="0058009E" w:rsidRDefault="00781F9E" w:rsidP="00C051BB">
            <w:pPr>
              <w:numPr>
                <w:ilvl w:val="0"/>
                <w:numId w:val="1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BMKALC</w:t>
            </w:r>
          </w:p>
          <w:p w14:paraId="2807729C" w14:textId="30837415" w:rsidR="00781F9E" w:rsidRPr="004A4B34" w:rsidRDefault="00667C02" w:rsidP="00C051BB">
            <w:pPr>
              <w:numPr>
                <w:ilvl w:val="0"/>
                <w:numId w:val="1"/>
              </w:numPr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4A4B34">
              <w:rPr>
                <w:rFonts w:ascii="Arial" w:hAnsi="Arial" w:cs="Arial"/>
                <w:i w:val="0"/>
                <w:sz w:val="22"/>
                <w:szCs w:val="22"/>
              </w:rPr>
              <w:t>Buckinghamshire Council</w:t>
            </w:r>
          </w:p>
          <w:p w14:paraId="4FBD6BBB" w14:textId="77777777" w:rsidR="00781F9E" w:rsidRPr="0058009E" w:rsidRDefault="00781F9E" w:rsidP="00781F9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All new Members to attend a Councillors Induction Course as soon as practicable after accepting Office.</w:t>
            </w:r>
          </w:p>
          <w:p w14:paraId="30DAC990" w14:textId="77777777" w:rsidR="00781F9E" w:rsidRPr="0058009E" w:rsidRDefault="00781F9E" w:rsidP="00781F9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Encourage attendance at meetings where new policies and potential best practice are being discussed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.  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These include:</w:t>
            </w:r>
          </w:p>
          <w:p w14:paraId="547370FA" w14:textId="77777777" w:rsidR="00781F9E" w:rsidRPr="0058009E" w:rsidRDefault="00781F9E" w:rsidP="00C051BB">
            <w:pPr>
              <w:numPr>
                <w:ilvl w:val="0"/>
                <w:numId w:val="2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BMKALC Parishes Liaison Meeting</w:t>
            </w:r>
          </w:p>
          <w:p w14:paraId="6BC21497" w14:textId="146AEE74" w:rsidR="00781F9E" w:rsidRPr="000032C0" w:rsidRDefault="00781F9E" w:rsidP="00C051BB">
            <w:pPr>
              <w:numPr>
                <w:ilvl w:val="0"/>
                <w:numId w:val="2"/>
              </w:numPr>
              <w:rPr>
                <w:rFonts w:ascii="Arial" w:hAnsi="Arial" w:cs="Arial"/>
                <w:iCs w:val="0"/>
                <w:color w:val="FF000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Buckingham</w:t>
            </w:r>
            <w:r w:rsidR="00667C02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667C02" w:rsidRPr="0047614B">
              <w:rPr>
                <w:rFonts w:ascii="Arial" w:hAnsi="Arial" w:cs="Arial"/>
                <w:i w:val="0"/>
                <w:sz w:val="22"/>
                <w:szCs w:val="22"/>
              </w:rPr>
              <w:t>Community Boards</w:t>
            </w:r>
          </w:p>
          <w:p w14:paraId="0F9CC2AB" w14:textId="77777777" w:rsidR="00781F9E" w:rsidRPr="0058009E" w:rsidRDefault="00781F9E" w:rsidP="00C051BB">
            <w:pPr>
              <w:numPr>
                <w:ilvl w:val="0"/>
                <w:numId w:val="2"/>
              </w:num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NBPPC</w:t>
            </w:r>
          </w:p>
          <w:p w14:paraId="66119CD6" w14:textId="77777777" w:rsidR="00781F9E" w:rsidRPr="0058009E" w:rsidRDefault="00781F9E" w:rsidP="00781F9E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Proper Officer to maintain a register of attendances, by member/officer, at any of the above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.  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To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be reviewed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annually.</w:t>
            </w:r>
          </w:p>
        </w:tc>
      </w:tr>
      <w:tr w:rsidR="00D05998" w:rsidRPr="0058009E" w14:paraId="248B56A9" w14:textId="77777777" w:rsidTr="0009627D">
        <w:tc>
          <w:tcPr>
            <w:tcW w:w="1525" w:type="dxa"/>
          </w:tcPr>
          <w:p w14:paraId="2E923294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lastRenderedPageBreak/>
              <w:t>COSHH</w:t>
            </w:r>
          </w:p>
        </w:tc>
        <w:tc>
          <w:tcPr>
            <w:tcW w:w="4563" w:type="dxa"/>
          </w:tcPr>
          <w:p w14:paraId="39AB11D6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Use of chemicals under the COSHH regulations</w:t>
            </w:r>
          </w:p>
        </w:tc>
        <w:tc>
          <w:tcPr>
            <w:tcW w:w="779" w:type="dxa"/>
          </w:tcPr>
          <w:p w14:paraId="72D80FD0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65E38CEE" w14:textId="539EEB11" w:rsidR="00D05998" w:rsidRPr="0058009E" w:rsidRDefault="00D05998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COSHH Register adhered to if chemicals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etc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used</w:t>
            </w:r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65A275BA" w14:textId="77777777" w:rsidR="00D05998" w:rsidRPr="0058009E" w:rsidRDefault="00D05998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Risk Assessment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before use</w:t>
            </w:r>
          </w:p>
        </w:tc>
      </w:tr>
      <w:tr w:rsidR="00D05998" w:rsidRPr="0058009E" w14:paraId="5FF8072D" w14:textId="77777777" w:rsidTr="0009627D">
        <w:tc>
          <w:tcPr>
            <w:tcW w:w="1525" w:type="dxa"/>
          </w:tcPr>
          <w:p w14:paraId="10884F10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Display Screen </w:t>
            </w:r>
          </w:p>
          <w:p w14:paraId="584DDF18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Equipment Assessment</w:t>
            </w:r>
          </w:p>
        </w:tc>
        <w:tc>
          <w:tcPr>
            <w:tcW w:w="4563" w:type="dxa"/>
          </w:tcPr>
          <w:p w14:paraId="3E748418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The Parish Clerk should ensure that </w:t>
            </w:r>
            <w:r w:rsidR="0090246E" w:rsidRPr="0058009E">
              <w:rPr>
                <w:rFonts w:ascii="Arial" w:hAnsi="Arial" w:cs="Arial"/>
                <w:sz w:val="22"/>
                <w:szCs w:val="22"/>
              </w:rPr>
              <w:t>his/</w:t>
            </w:r>
            <w:r w:rsidRPr="0058009E">
              <w:rPr>
                <w:rFonts w:ascii="Arial" w:hAnsi="Arial" w:cs="Arial"/>
                <w:sz w:val="22"/>
                <w:szCs w:val="22"/>
              </w:rPr>
              <w:t>her working environment fulfils the requirements of the Display Screen Equipment Regulations</w:t>
            </w:r>
          </w:p>
        </w:tc>
        <w:tc>
          <w:tcPr>
            <w:tcW w:w="779" w:type="dxa"/>
          </w:tcPr>
          <w:p w14:paraId="16FC6789" w14:textId="77777777" w:rsidR="00D05998" w:rsidRPr="0058009E" w:rsidRDefault="00D05998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22FD06BB" w14:textId="1B0C568A" w:rsidR="005B5F5B" w:rsidRPr="0058009E" w:rsidRDefault="00D05998" w:rsidP="00D914C4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Checks for enough space, suitable lighting and power, not too noisy, the temperature and </w:t>
            </w:r>
            <w:r w:rsidR="005B5F5B" w:rsidRPr="0058009E">
              <w:rPr>
                <w:rFonts w:ascii="Arial" w:hAnsi="Arial" w:cs="Arial"/>
                <w:i w:val="0"/>
                <w:sz w:val="22"/>
                <w:szCs w:val="22"/>
              </w:rPr>
              <w:t>hum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id</w:t>
            </w:r>
            <w:r w:rsidR="005B5F5B" w:rsidRPr="0058009E">
              <w:rPr>
                <w:rFonts w:ascii="Arial" w:hAnsi="Arial" w:cs="Arial"/>
                <w:i w:val="0"/>
                <w:sz w:val="22"/>
                <w:szCs w:val="22"/>
              </w:rPr>
              <w:t>i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ty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is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at an acceptable level</w:t>
            </w:r>
            <w:r w:rsidR="005B5F5B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and the display screen is at an acceptable height and the correct distance away from the user</w:t>
            </w:r>
            <w:r w:rsidR="0058009E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D914C4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B5F5B"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Risk Assessment to be </w:t>
            </w:r>
            <w:proofErr w:type="gramStart"/>
            <w:r w:rsidR="005B5F5B"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</w:p>
        </w:tc>
      </w:tr>
      <w:tr w:rsidR="005B5F5B" w:rsidRPr="0058009E" w14:paraId="1F8B1D8C" w14:textId="77777777" w:rsidTr="0009627D">
        <w:tc>
          <w:tcPr>
            <w:tcW w:w="1525" w:type="dxa"/>
          </w:tcPr>
          <w:p w14:paraId="493841FB" w14:textId="77777777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Risk Assessments</w:t>
            </w:r>
          </w:p>
        </w:tc>
        <w:tc>
          <w:tcPr>
            <w:tcW w:w="4563" w:type="dxa"/>
          </w:tcPr>
          <w:p w14:paraId="0E4824F6" w14:textId="77777777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Dangers unspotted when work being </w:t>
            </w:r>
            <w:proofErr w:type="gramStart"/>
            <w:r w:rsidRPr="0058009E">
              <w:rPr>
                <w:rFonts w:ascii="Arial" w:hAnsi="Arial" w:cs="Arial"/>
                <w:sz w:val="22"/>
                <w:szCs w:val="22"/>
              </w:rPr>
              <w:t>carried out</w:t>
            </w:r>
            <w:proofErr w:type="gramEnd"/>
          </w:p>
        </w:tc>
        <w:tc>
          <w:tcPr>
            <w:tcW w:w="779" w:type="dxa"/>
          </w:tcPr>
          <w:p w14:paraId="00BE9EA1" w14:textId="77777777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2BD82EE0" w14:textId="77777777" w:rsidR="005B5F5B" w:rsidRPr="0058009E" w:rsidRDefault="005B5F5B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Risk Assessment to be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for all work that is deemed necessary</w:t>
            </w:r>
          </w:p>
        </w:tc>
      </w:tr>
      <w:tr w:rsidR="005B5F5B" w:rsidRPr="0058009E" w14:paraId="2EAB38B4" w14:textId="77777777" w:rsidTr="0009627D">
        <w:tc>
          <w:tcPr>
            <w:tcW w:w="1525" w:type="dxa"/>
          </w:tcPr>
          <w:p w14:paraId="36F93E7E" w14:textId="0C7B974B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 xml:space="preserve">Personal Protective Equipment </w:t>
            </w:r>
          </w:p>
        </w:tc>
        <w:tc>
          <w:tcPr>
            <w:tcW w:w="4563" w:type="dxa"/>
          </w:tcPr>
          <w:p w14:paraId="12DF3391" w14:textId="77777777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Personal danger</w:t>
            </w:r>
          </w:p>
        </w:tc>
        <w:tc>
          <w:tcPr>
            <w:tcW w:w="779" w:type="dxa"/>
          </w:tcPr>
          <w:p w14:paraId="17C9FDEC" w14:textId="77777777" w:rsidR="005B5F5B" w:rsidRPr="0058009E" w:rsidRDefault="005B5F5B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3B1EFBB6" w14:textId="77777777" w:rsidR="005B5F5B" w:rsidRPr="0058009E" w:rsidRDefault="005B5F5B" w:rsidP="003F4311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PPE should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be considered</w:t>
            </w:r>
            <w:proofErr w:type="gramEnd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as a last resort where all other introduced precautions cannot adequately control the hazard</w:t>
            </w:r>
          </w:p>
        </w:tc>
      </w:tr>
      <w:tr w:rsidR="005B5F5B" w:rsidRPr="0058009E" w14:paraId="40D25A9C" w14:textId="77777777" w:rsidTr="0009627D">
        <w:tc>
          <w:tcPr>
            <w:tcW w:w="1525" w:type="dxa"/>
          </w:tcPr>
          <w:p w14:paraId="79AB2515" w14:textId="77777777" w:rsidR="005B5F5B" w:rsidRPr="0058009E" w:rsidRDefault="003F4311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Independent Contractors</w:t>
            </w:r>
          </w:p>
        </w:tc>
        <w:tc>
          <w:tcPr>
            <w:tcW w:w="4563" w:type="dxa"/>
          </w:tcPr>
          <w:p w14:paraId="35BA92B6" w14:textId="77777777" w:rsidR="005B5F5B" w:rsidRPr="0058009E" w:rsidRDefault="003F4311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Liability when operating on Parish Property</w:t>
            </w:r>
          </w:p>
        </w:tc>
        <w:tc>
          <w:tcPr>
            <w:tcW w:w="779" w:type="dxa"/>
          </w:tcPr>
          <w:p w14:paraId="519B222A" w14:textId="77777777" w:rsidR="005B5F5B" w:rsidRPr="0058009E" w:rsidRDefault="003F4311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477A7B20" w14:textId="77777777" w:rsidR="005B5F5B" w:rsidRPr="0058009E" w:rsidRDefault="003F4311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All contractors to carry liability insurance and to conduct risk assessments</w:t>
            </w:r>
          </w:p>
        </w:tc>
      </w:tr>
      <w:tr w:rsidR="00E05A62" w:rsidRPr="0058009E" w14:paraId="3DB6E6B0" w14:textId="77777777" w:rsidTr="0009627D">
        <w:tc>
          <w:tcPr>
            <w:tcW w:w="1525" w:type="dxa"/>
          </w:tcPr>
          <w:p w14:paraId="60EAE04C" w14:textId="77777777" w:rsidR="00E05A62" w:rsidRPr="0058009E" w:rsidRDefault="00E05A62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Pavilion</w:t>
            </w:r>
          </w:p>
        </w:tc>
        <w:tc>
          <w:tcPr>
            <w:tcW w:w="4563" w:type="dxa"/>
          </w:tcPr>
          <w:p w14:paraId="2DABA458" w14:textId="77777777" w:rsidR="00E05A62" w:rsidRPr="0058009E" w:rsidRDefault="00E05A62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Injury/illness to users of the pavilion</w:t>
            </w:r>
          </w:p>
        </w:tc>
        <w:tc>
          <w:tcPr>
            <w:tcW w:w="779" w:type="dxa"/>
          </w:tcPr>
          <w:p w14:paraId="2CCC8A8D" w14:textId="77777777" w:rsidR="00E05A62" w:rsidRPr="0058009E" w:rsidRDefault="00E05A62" w:rsidP="00C23A10">
            <w:pPr>
              <w:rPr>
                <w:rFonts w:ascii="Arial" w:hAnsi="Arial" w:cs="Arial"/>
                <w:sz w:val="22"/>
                <w:szCs w:val="22"/>
              </w:rPr>
            </w:pPr>
            <w:r w:rsidRPr="0058009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68C737DC" w14:textId="5494CCFC" w:rsidR="00E05A62" w:rsidRPr="0058009E" w:rsidRDefault="00E05A62" w:rsidP="008428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HSE approved health and safety checklist for village and community halls completed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84281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Risk assessment and management plan completed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 Health and safety policy statement produced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  <w:r w:rsidR="00842810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Appropriate signage and first aid kit provided</w:t>
            </w:r>
            <w:r w:rsidR="00547C99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E05A62" w:rsidRPr="0058009E" w14:paraId="351FA91C" w14:textId="77777777" w:rsidTr="000962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5" w:type="dxa"/>
          </w:tcPr>
          <w:p w14:paraId="2CBCB9C4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Pavilion</w:t>
            </w:r>
          </w:p>
        </w:tc>
        <w:tc>
          <w:tcPr>
            <w:tcW w:w="4563" w:type="dxa"/>
          </w:tcPr>
          <w:p w14:paraId="5F2F6726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Fire damage to pavilion structure and fittings</w:t>
            </w:r>
          </w:p>
          <w:p w14:paraId="3894F991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Injuries caused by fire to users of pavilion</w:t>
            </w:r>
          </w:p>
        </w:tc>
        <w:tc>
          <w:tcPr>
            <w:tcW w:w="779" w:type="dxa"/>
          </w:tcPr>
          <w:p w14:paraId="46370492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L</w:t>
            </w:r>
          </w:p>
          <w:p w14:paraId="47B72729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00" w:type="dxa"/>
          </w:tcPr>
          <w:p w14:paraId="58662CBB" w14:textId="12ACD50D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 xml:space="preserve">Fire risk assessment </w:t>
            </w:r>
            <w:proofErr w:type="gramStart"/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carried out</w:t>
            </w:r>
            <w:proofErr w:type="gramEnd"/>
            <w:r w:rsidR="005322F2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62CEDDCB" w14:textId="77777777" w:rsidR="00E05A62" w:rsidRPr="0058009E" w:rsidRDefault="00E05A62" w:rsidP="00C23A10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58009E">
              <w:rPr>
                <w:rFonts w:ascii="Arial" w:hAnsi="Arial" w:cs="Arial"/>
                <w:i w:val="0"/>
                <w:sz w:val="22"/>
                <w:szCs w:val="22"/>
              </w:rPr>
              <w:t>Appropriate signage and fire-fighting equipment provided</w:t>
            </w:r>
          </w:p>
        </w:tc>
      </w:tr>
    </w:tbl>
    <w:p w14:paraId="52E1E3E6" w14:textId="2BD3D9F5" w:rsidR="004C509F" w:rsidRDefault="00624773" w:rsidP="00F856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r w:rsidR="00FD46B6">
        <w:rPr>
          <w:rFonts w:ascii="Arial" w:hAnsi="Arial" w:cs="Arial"/>
          <w:sz w:val="22"/>
          <w:szCs w:val="22"/>
        </w:rPr>
        <w:t xml:space="preserve"> </w:t>
      </w:r>
      <w:r w:rsidR="00EC27C2">
        <w:rPr>
          <w:rFonts w:ascii="Arial" w:hAnsi="Arial" w:cs="Arial"/>
          <w:sz w:val="22"/>
          <w:szCs w:val="22"/>
        </w:rPr>
        <w:t xml:space="preserve">at </w:t>
      </w:r>
      <w:r w:rsidR="00051EB9">
        <w:rPr>
          <w:rFonts w:ascii="Arial" w:hAnsi="Arial" w:cs="Arial"/>
          <w:sz w:val="22"/>
          <w:szCs w:val="22"/>
        </w:rPr>
        <w:t>13</w:t>
      </w:r>
      <w:r w:rsidR="00051EB9" w:rsidRPr="00051EB9">
        <w:rPr>
          <w:rFonts w:ascii="Arial" w:hAnsi="Arial" w:cs="Arial"/>
          <w:sz w:val="22"/>
          <w:szCs w:val="22"/>
          <w:vertAlign w:val="superscript"/>
        </w:rPr>
        <w:t>th</w:t>
      </w:r>
      <w:r w:rsidR="00051EB9">
        <w:rPr>
          <w:rFonts w:ascii="Arial" w:hAnsi="Arial" w:cs="Arial"/>
          <w:sz w:val="22"/>
          <w:szCs w:val="22"/>
        </w:rPr>
        <w:t xml:space="preserve"> February </w:t>
      </w:r>
      <w:r w:rsidR="004C509F">
        <w:rPr>
          <w:rFonts w:ascii="Arial" w:hAnsi="Arial" w:cs="Arial"/>
          <w:sz w:val="22"/>
          <w:szCs w:val="22"/>
        </w:rPr>
        <w:t>202</w:t>
      </w:r>
      <w:r w:rsidR="00051EB9">
        <w:rPr>
          <w:rFonts w:ascii="Arial" w:hAnsi="Arial" w:cs="Arial"/>
          <w:sz w:val="22"/>
          <w:szCs w:val="22"/>
        </w:rPr>
        <w:t>4</w:t>
      </w:r>
      <w:r w:rsidR="00D914C4">
        <w:rPr>
          <w:rFonts w:ascii="Arial" w:hAnsi="Arial" w:cs="Arial"/>
          <w:sz w:val="22"/>
          <w:szCs w:val="22"/>
        </w:rPr>
        <w:t xml:space="preserve"> </w:t>
      </w:r>
      <w:r w:rsidR="00622A6D">
        <w:rPr>
          <w:rFonts w:ascii="Arial" w:hAnsi="Arial" w:cs="Arial"/>
          <w:sz w:val="22"/>
          <w:szCs w:val="22"/>
        </w:rPr>
        <w:t>Meeting</w:t>
      </w:r>
    </w:p>
    <w:sectPr w:rsidR="004C509F" w:rsidSect="00580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BD0F" w14:textId="77777777" w:rsidR="008973A9" w:rsidRDefault="008973A9" w:rsidP="00605245">
      <w:r>
        <w:separator/>
      </w:r>
    </w:p>
  </w:endnote>
  <w:endnote w:type="continuationSeparator" w:id="0">
    <w:p w14:paraId="5D8613DE" w14:textId="77777777" w:rsidR="008973A9" w:rsidRDefault="008973A9" w:rsidP="006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86D0" w14:textId="77777777" w:rsidR="0058009E" w:rsidRDefault="00580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94B5" w14:textId="77777777" w:rsidR="0058009E" w:rsidRDefault="00580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8B71" w14:textId="77777777" w:rsidR="0058009E" w:rsidRDefault="0058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C531" w14:textId="77777777" w:rsidR="008973A9" w:rsidRDefault="008973A9" w:rsidP="00605245">
      <w:r>
        <w:separator/>
      </w:r>
    </w:p>
  </w:footnote>
  <w:footnote w:type="continuationSeparator" w:id="0">
    <w:p w14:paraId="32FE3C89" w14:textId="77777777" w:rsidR="008973A9" w:rsidRDefault="008973A9" w:rsidP="006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F03E" w14:textId="77777777" w:rsidR="0058009E" w:rsidRDefault="00580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64AE" w14:textId="77777777" w:rsidR="00605245" w:rsidRPr="0058009E" w:rsidRDefault="00605245" w:rsidP="005800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05D5" w14:textId="77777777" w:rsidR="0058009E" w:rsidRDefault="00580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37A2"/>
    <w:multiLevelType w:val="hybridMultilevel"/>
    <w:tmpl w:val="7A78A886"/>
    <w:lvl w:ilvl="0" w:tplc="BFBA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A7CEA"/>
    <w:multiLevelType w:val="hybridMultilevel"/>
    <w:tmpl w:val="CA92F322"/>
    <w:lvl w:ilvl="0" w:tplc="1ECC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22358">
    <w:abstractNumId w:val="0"/>
  </w:num>
  <w:num w:numId="2" w16cid:durableId="100941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13"/>
    <w:rsid w:val="000032C0"/>
    <w:rsid w:val="00020892"/>
    <w:rsid w:val="00027975"/>
    <w:rsid w:val="00051EB9"/>
    <w:rsid w:val="000571E7"/>
    <w:rsid w:val="0009627D"/>
    <w:rsid w:val="000A5CEF"/>
    <w:rsid w:val="000B566E"/>
    <w:rsid w:val="000D0269"/>
    <w:rsid w:val="000E42FD"/>
    <w:rsid w:val="001129D8"/>
    <w:rsid w:val="00130986"/>
    <w:rsid w:val="0017153F"/>
    <w:rsid w:val="00184F09"/>
    <w:rsid w:val="001D08EA"/>
    <w:rsid w:val="001F337B"/>
    <w:rsid w:val="001F7C13"/>
    <w:rsid w:val="00226C78"/>
    <w:rsid w:val="002372DC"/>
    <w:rsid w:val="00260040"/>
    <w:rsid w:val="002758FF"/>
    <w:rsid w:val="00276C48"/>
    <w:rsid w:val="002A2743"/>
    <w:rsid w:val="002C5AE4"/>
    <w:rsid w:val="003007D3"/>
    <w:rsid w:val="00315F4B"/>
    <w:rsid w:val="00343F1C"/>
    <w:rsid w:val="00350342"/>
    <w:rsid w:val="0038235D"/>
    <w:rsid w:val="003854F5"/>
    <w:rsid w:val="003B2EBD"/>
    <w:rsid w:val="003C6C7C"/>
    <w:rsid w:val="003E5056"/>
    <w:rsid w:val="003E6C2B"/>
    <w:rsid w:val="003F4311"/>
    <w:rsid w:val="00420500"/>
    <w:rsid w:val="0047614B"/>
    <w:rsid w:val="00481997"/>
    <w:rsid w:val="00486EF8"/>
    <w:rsid w:val="004A3442"/>
    <w:rsid w:val="004A4B34"/>
    <w:rsid w:val="004B36D8"/>
    <w:rsid w:val="004C509F"/>
    <w:rsid w:val="004E2CB8"/>
    <w:rsid w:val="004E3634"/>
    <w:rsid w:val="005115C2"/>
    <w:rsid w:val="005141B2"/>
    <w:rsid w:val="00516ED6"/>
    <w:rsid w:val="005252FC"/>
    <w:rsid w:val="005322F2"/>
    <w:rsid w:val="00532789"/>
    <w:rsid w:val="00542E22"/>
    <w:rsid w:val="00547C99"/>
    <w:rsid w:val="00576282"/>
    <w:rsid w:val="0058009E"/>
    <w:rsid w:val="00586005"/>
    <w:rsid w:val="0058638B"/>
    <w:rsid w:val="005A374A"/>
    <w:rsid w:val="005B5F5B"/>
    <w:rsid w:val="00605245"/>
    <w:rsid w:val="00622A6D"/>
    <w:rsid w:val="00624773"/>
    <w:rsid w:val="00640AF1"/>
    <w:rsid w:val="00646A5C"/>
    <w:rsid w:val="0065118B"/>
    <w:rsid w:val="00660400"/>
    <w:rsid w:val="00661CD0"/>
    <w:rsid w:val="00663368"/>
    <w:rsid w:val="00666C7A"/>
    <w:rsid w:val="00667C02"/>
    <w:rsid w:val="006963A9"/>
    <w:rsid w:val="006D01FD"/>
    <w:rsid w:val="006D2AB8"/>
    <w:rsid w:val="006E111D"/>
    <w:rsid w:val="006E15D0"/>
    <w:rsid w:val="006E4BB8"/>
    <w:rsid w:val="007314AE"/>
    <w:rsid w:val="00781F9E"/>
    <w:rsid w:val="00793C6E"/>
    <w:rsid w:val="00797363"/>
    <w:rsid w:val="007A5B13"/>
    <w:rsid w:val="007B7EC1"/>
    <w:rsid w:val="007D5282"/>
    <w:rsid w:val="007E1BFE"/>
    <w:rsid w:val="007E4169"/>
    <w:rsid w:val="007E69F5"/>
    <w:rsid w:val="00811DF8"/>
    <w:rsid w:val="00842810"/>
    <w:rsid w:val="00847471"/>
    <w:rsid w:val="00861392"/>
    <w:rsid w:val="00862712"/>
    <w:rsid w:val="00871355"/>
    <w:rsid w:val="00886628"/>
    <w:rsid w:val="008953F9"/>
    <w:rsid w:val="008973A9"/>
    <w:rsid w:val="008C2127"/>
    <w:rsid w:val="0090200B"/>
    <w:rsid w:val="0090246E"/>
    <w:rsid w:val="00910D93"/>
    <w:rsid w:val="00917B94"/>
    <w:rsid w:val="009611E6"/>
    <w:rsid w:val="0096234F"/>
    <w:rsid w:val="009C3035"/>
    <w:rsid w:val="00A50498"/>
    <w:rsid w:val="00A56511"/>
    <w:rsid w:val="00A62CD4"/>
    <w:rsid w:val="00B05B2C"/>
    <w:rsid w:val="00B739FF"/>
    <w:rsid w:val="00BA09DD"/>
    <w:rsid w:val="00BB63B8"/>
    <w:rsid w:val="00C051BB"/>
    <w:rsid w:val="00C15225"/>
    <w:rsid w:val="00C15D45"/>
    <w:rsid w:val="00C23A10"/>
    <w:rsid w:val="00C957AA"/>
    <w:rsid w:val="00C96A89"/>
    <w:rsid w:val="00CA448F"/>
    <w:rsid w:val="00CB272E"/>
    <w:rsid w:val="00CD49A9"/>
    <w:rsid w:val="00CF061F"/>
    <w:rsid w:val="00D04CC8"/>
    <w:rsid w:val="00D05998"/>
    <w:rsid w:val="00D148FB"/>
    <w:rsid w:val="00D2253C"/>
    <w:rsid w:val="00D32EB3"/>
    <w:rsid w:val="00D331C9"/>
    <w:rsid w:val="00D74A66"/>
    <w:rsid w:val="00D90CDE"/>
    <w:rsid w:val="00D914C4"/>
    <w:rsid w:val="00DE57D4"/>
    <w:rsid w:val="00DF3D72"/>
    <w:rsid w:val="00E05A62"/>
    <w:rsid w:val="00E401B4"/>
    <w:rsid w:val="00E71479"/>
    <w:rsid w:val="00EB58FD"/>
    <w:rsid w:val="00EC27C2"/>
    <w:rsid w:val="00EE6A4F"/>
    <w:rsid w:val="00F114CD"/>
    <w:rsid w:val="00F14939"/>
    <w:rsid w:val="00F354F0"/>
    <w:rsid w:val="00F81DC7"/>
    <w:rsid w:val="00F856D2"/>
    <w:rsid w:val="00F97237"/>
    <w:rsid w:val="00FC3304"/>
    <w:rsid w:val="00FD46B6"/>
    <w:rsid w:val="00FE2949"/>
    <w:rsid w:val="00FE409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8197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5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05245"/>
    <w:rPr>
      <w:sz w:val="24"/>
      <w:szCs w:val="24"/>
    </w:rPr>
  </w:style>
  <w:style w:type="paragraph" w:styleId="Footer">
    <w:name w:val="footer"/>
    <w:basedOn w:val="Normal"/>
    <w:link w:val="FooterChar"/>
    <w:rsid w:val="00605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05245"/>
    <w:rPr>
      <w:sz w:val="24"/>
      <w:szCs w:val="24"/>
    </w:rPr>
  </w:style>
  <w:style w:type="table" w:styleId="Table3Deffects1">
    <w:name w:val="Table 3D effects 1"/>
    <w:basedOn w:val="TableNormal"/>
    <w:rsid w:val="00DE57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E57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E57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2024-02-05T17:44:00Z</dcterms:created>
  <dcterms:modified xsi:type="dcterms:W3CDTF">2024-02-21T16:44:00Z</dcterms:modified>
</cp:coreProperties>
</file>